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8AC0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DB288D8">
      <w:pPr>
        <w:spacing w:line="540" w:lineRule="exact"/>
        <w:jc w:val="center"/>
        <w:rPr>
          <w:rFonts w:ascii="方正小标宋_GBK" w:hAnsi="华文中宋" w:eastAsia="方正小标宋_GBK" w:cs="宋体"/>
          <w:b/>
          <w:kern w:val="0"/>
          <w:sz w:val="48"/>
          <w:szCs w:val="48"/>
        </w:rPr>
      </w:pPr>
    </w:p>
    <w:p w14:paraId="6FE7DC2E">
      <w:pPr>
        <w:spacing w:line="540" w:lineRule="exact"/>
        <w:jc w:val="center"/>
        <w:rPr>
          <w:rFonts w:ascii="方正小标宋_GBK" w:hAnsi="华文中宋" w:eastAsia="方正小标宋_GBK" w:cs="宋体"/>
          <w:b/>
          <w:kern w:val="0"/>
          <w:sz w:val="48"/>
          <w:szCs w:val="48"/>
        </w:rPr>
      </w:pPr>
    </w:p>
    <w:p w14:paraId="6973DA28">
      <w:pPr>
        <w:spacing w:line="540" w:lineRule="exact"/>
        <w:jc w:val="center"/>
        <w:rPr>
          <w:rFonts w:ascii="方正小标宋_GBK" w:hAnsi="华文中宋" w:eastAsia="方正小标宋_GBK" w:cs="宋体"/>
          <w:b/>
          <w:kern w:val="0"/>
          <w:sz w:val="48"/>
          <w:szCs w:val="48"/>
        </w:rPr>
      </w:pPr>
    </w:p>
    <w:p w14:paraId="6D6D81B1">
      <w:pPr>
        <w:spacing w:line="540" w:lineRule="exact"/>
        <w:jc w:val="center"/>
        <w:rPr>
          <w:rFonts w:ascii="方正小标宋_GBK" w:hAnsi="华文中宋" w:eastAsia="方正小标宋_GBK" w:cs="宋体"/>
          <w:b/>
          <w:kern w:val="0"/>
          <w:sz w:val="48"/>
          <w:szCs w:val="48"/>
        </w:rPr>
      </w:pPr>
    </w:p>
    <w:p w14:paraId="18226F93">
      <w:pPr>
        <w:spacing w:line="540" w:lineRule="exact"/>
        <w:jc w:val="center"/>
        <w:rPr>
          <w:rFonts w:ascii="方正小标宋_GBK" w:hAnsi="华文中宋" w:eastAsia="方正小标宋_GBK" w:cs="宋体"/>
          <w:b/>
          <w:kern w:val="0"/>
          <w:sz w:val="48"/>
          <w:szCs w:val="48"/>
        </w:rPr>
      </w:pPr>
    </w:p>
    <w:p w14:paraId="03C1DA41">
      <w:pPr>
        <w:spacing w:line="540" w:lineRule="exact"/>
        <w:jc w:val="center"/>
        <w:rPr>
          <w:rFonts w:ascii="方正小标宋_GBK" w:hAnsi="华文中宋" w:eastAsia="方正小标宋_GBK" w:cs="宋体"/>
          <w:b/>
          <w:kern w:val="0"/>
          <w:sz w:val="48"/>
          <w:szCs w:val="48"/>
        </w:rPr>
      </w:pPr>
    </w:p>
    <w:p w14:paraId="3772859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3C732FB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194FBB8">
      <w:pPr>
        <w:spacing w:line="540" w:lineRule="exact"/>
        <w:jc w:val="center"/>
        <w:rPr>
          <w:rFonts w:ascii="华文中宋" w:hAnsi="华文中宋" w:eastAsia="华文中宋" w:cs="宋体"/>
          <w:b/>
          <w:kern w:val="0"/>
          <w:sz w:val="52"/>
          <w:szCs w:val="52"/>
        </w:rPr>
      </w:pPr>
    </w:p>
    <w:p w14:paraId="694EBF03">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7B70E7D">
      <w:pPr>
        <w:spacing w:line="700" w:lineRule="exact"/>
        <w:jc w:val="left"/>
        <w:rPr>
          <w:rFonts w:hint="eastAsia" w:hAnsi="宋体" w:eastAsia="仿宋_GB2312" w:cs="宋体"/>
          <w:kern w:val="0"/>
          <w:sz w:val="36"/>
          <w:szCs w:val="36"/>
        </w:rPr>
      </w:pPr>
    </w:p>
    <w:p w14:paraId="506963CF">
      <w:pPr>
        <w:spacing w:line="700" w:lineRule="exact"/>
        <w:jc w:val="left"/>
        <w:rPr>
          <w:rFonts w:hint="eastAsia" w:hAnsi="宋体" w:eastAsia="仿宋_GB2312" w:cs="宋体"/>
          <w:kern w:val="0"/>
          <w:sz w:val="36"/>
          <w:szCs w:val="36"/>
        </w:rPr>
      </w:pPr>
    </w:p>
    <w:p w14:paraId="168697BD">
      <w:pPr>
        <w:spacing w:line="700" w:lineRule="exact"/>
        <w:jc w:val="left"/>
        <w:rPr>
          <w:rFonts w:hint="eastAsia" w:hAnsi="宋体" w:eastAsia="仿宋_GB2312" w:cs="宋体"/>
          <w:kern w:val="0"/>
          <w:sz w:val="36"/>
          <w:szCs w:val="36"/>
          <w:lang w:eastAsia="zh-CN"/>
        </w:rPr>
      </w:pPr>
    </w:p>
    <w:p w14:paraId="56B6AD65">
      <w:pPr>
        <w:spacing w:line="700" w:lineRule="exact"/>
        <w:jc w:val="left"/>
        <w:rPr>
          <w:rFonts w:hint="eastAsia" w:hAnsi="宋体" w:eastAsia="仿宋_GB2312" w:cs="宋体"/>
          <w:kern w:val="0"/>
          <w:sz w:val="36"/>
          <w:szCs w:val="36"/>
          <w:lang w:eastAsia="zh-CN"/>
        </w:rPr>
      </w:pPr>
    </w:p>
    <w:p w14:paraId="52486DB4">
      <w:pPr>
        <w:spacing w:line="700" w:lineRule="exact"/>
        <w:jc w:val="left"/>
        <w:rPr>
          <w:rFonts w:hint="eastAsia" w:hAnsi="宋体" w:eastAsia="仿宋_GB2312" w:cs="宋体"/>
          <w:kern w:val="0"/>
          <w:sz w:val="36"/>
          <w:szCs w:val="36"/>
          <w:lang w:eastAsia="zh-CN"/>
        </w:rPr>
      </w:pPr>
    </w:p>
    <w:p w14:paraId="6AA7125E">
      <w:pPr>
        <w:spacing w:line="700" w:lineRule="exact"/>
        <w:jc w:val="left"/>
        <w:rPr>
          <w:rFonts w:hint="eastAsia" w:hAnsi="宋体" w:eastAsia="仿宋_GB2312" w:cs="宋体"/>
          <w:kern w:val="0"/>
          <w:sz w:val="36"/>
          <w:szCs w:val="36"/>
          <w:lang w:eastAsia="zh-CN"/>
        </w:rPr>
      </w:pPr>
    </w:p>
    <w:p w14:paraId="4ED21562">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克州奥依塔克州林场</w:t>
      </w:r>
    </w:p>
    <w:p w14:paraId="60AEFA5D">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3E30D9B3">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7C45CA0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0A8B869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克孜勒苏柯尔克孜自治州奥依塔克国有林管理局是自治州林业局下属的造林与管护相结合，生态与产业相结合发展的公益性事业单位，机构规格相当于正科级。具体职能为：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（1）依法管理好现有的森林、林木和林地资源，很大程度的发挥现有资源的生态效益、社会效益和经济效益。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（2）根据《自治区党委、人民政府关于进一步加快林业发展的意见》精神充分利用现有荒地资源建设好生态公益林对于自治州的生态建设做贡献。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（3）根据上级林业部门的要求建立好林果业发展示范基地，对于自治州的特色林果业建设起到样板作用。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（4）做好林场的多种经营工作，为职工子女安置积极创造条件缓解社会就业压力。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（5）完成上级党委政府和业务部门安排的相关工作任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克孜勒苏柯尔克孜自治州奥依塔克国有林管理局无下属预算单位，下设5个科室，分别是：办公室、天保办公室、公益林办公室、护林防火办公室、财务室。。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克孜勒苏柯尔克孜自治州奥依塔克国有林管理局编制数33，实有人数69人，其中：在职30人，减少0人；退休41人，增加0人；离休0人，增加0人。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克州奥依塔克国有林管理局始终坚持以习近平新时代中国特色社会主义思想为指导，学习贯彻党的十九大、十九届二中、三中、四中、五中、六中全会精神，第三次中央新疆工作座谈会精神，中央经济工作会议、农村工作会议精神，落实新时代党的治疆方略，牢牢扭住社会稳定和长治久安这个总目标，扎实开展党史学习教育，进一步</w:t>
      </w:r>
      <w:r>
        <w:rPr>
          <w:rFonts w:hint="eastAsia" w:ascii="仿宋_GB2312" w:hAnsi="宋体" w:eastAsia="仿宋_GB2312"/>
          <w:b w:val="0"/>
          <w:bCs/>
          <w:sz w:val="32"/>
          <w:szCs w:val="32"/>
          <w:lang w:eastAsia="zh-CN"/>
        </w:rPr>
        <w:t>增强“四个意识”、坚定“四个自信”、做到“两个维护”</w:t>
      </w:r>
      <w:r>
        <w:rPr>
          <w:rFonts w:hint="eastAsia" w:ascii="仿宋_GB2312" w:hAnsi="宋体" w:eastAsia="仿宋_GB2312"/>
          <w:b w:val="0"/>
          <w:bCs/>
          <w:sz w:val="32"/>
          <w:szCs w:val="32"/>
        </w:rPr>
        <w:t>，自觉践行“绿水青山就是金山银山、冰天雪地也是金山银山”的理念，扎实做好社会稳定、疫情防控和安全生产，推进森林资源保护和项目建设，确保辖区安全稳定、各项措施落实到位，圆满完成了各项指标和工作任务</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决策机制根据行政事业单位内部控制体系建设相关要求，逐步完善《三重一大会议制度》，根据制度规定“单位的各项开支均应实行计划管理，党支部书记分管，实行统一集中管理，一切开支，均按照相关财务制度规定严格执行。各项费用开支，必须严格履行审批手续，做到先审批后支出。坚持“一支笔”原则，经审批的各项费用开支必须凭据真实，手续齐全，由经办人签字，财务领导审签后方可报销。”进行单位事项决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奥依塔克国有林管理局集体决策制度》和《克孜勒苏柯尔克孜自治州奥依塔克国有林管理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孜勒苏柯尔克孜自治州奥依塔克国有林管理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575.70万元，项目支出安排资金406.54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本单位2021年度项目支出406.54万元，涉及项目数量4个，其中：重点项目支出239.47万元，涉及重点项目数量1个，重点项目支出与部门项目总支出的比率为58.90%。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2021年度本单位年初批复部门预算资金总额为486.59万元，年中调增预算总额为495.65万元，调整后全年预算资金总额为982.24万元。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2021年度本单位部门整体支出资金总额为982.24万元，预算执行率为100%，预算调整率为</w:t>
      </w:r>
      <w:r>
        <w:rPr>
          <w:rFonts w:hint="eastAsia" w:ascii="仿宋_GB2312" w:hAnsi="宋体" w:eastAsia="仿宋_GB2312"/>
          <w:b w:val="0"/>
          <w:bCs/>
          <w:sz w:val="32"/>
          <w:szCs w:val="32"/>
          <w:lang w:val="en-US" w:eastAsia="zh-CN"/>
        </w:rPr>
        <w:t>101.86</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年初政府采购预算数为0.54万元，实际政府采购数为0.54万元，政府采购执行率为100%。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6CA02B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E85215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为加强我单位预算管理、规范财务行为我单位制定了《克州奥依塔克国有林管理局内部控制规范》《克州奥依塔克国有林管理局项目管理规范》等资金管理制度，已建立制度均健全且有效运行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2021年度我单位基本支出预算总额为575.70万元，其中人员经费555.72万元，公用经费19.98万元。实际执行总额为575.70万元，预算执行率100%。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0.54万元，比上年减少0.46万元，减少46%，主要原因是：按照厉行节约的要求，2021年缩减公务车运行维护费，因此支出随之减少。其中，因公出国（境）费支出0万元；公务用车购置及运行维护费支出0.46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与年初预算数相比情况：一般公共预算“三公”经费支出年初预算数0.54万元，预算执行数为0.54万元，执行率为100%，主要原因是：按照厉行节约的要求，2021年缩减公务车运行维护费，因此支出随之减少。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2021年度本单位项目支出预算总额为451.78万元，实际执行资金总额为406.54万元，预算执行率为89.99%。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2021年度预算安排专项资金451.78万元，实际支出资金406.54万元，预算执行率为89.99%，涉及项目个数4个。专项经费按照政策要求实行专款专用，不存在截留、挤占、挪用、虚列支出。各项目详细执行情况如下：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林业改革发展资金-天然林保护资金项目:全年预算数为195.5万元，预算执行数为179.94万元，预算执行率为92.04%。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林业改革发展资金-森林生态补偿效益资金项目:全年预算数为60.40万元，预算执行数为59.53万元，预算执行率为98.56%。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森林资源培育资金项目:全年预算数为10万元，预算执行数为9.75万元，预算执行率为97.50%。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2019林业改革发展资金-天然林保护资金项目:全年预算数为185.88万元，预算执行数为157.31万元，预算执行率为84.63%。</w:t>
      </w:r>
    </w:p>
    <w:p w14:paraId="4F534EA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442D995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89.99%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林业改革发展资金-天然林保护资金项目:。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通过项目的实施，天保工程区的生态状况从逐步好转向明显改善转变，生物多样性明显增加，森林生态功能明显增强。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林业改革发展资金-森林生态补偿效益资金项目:。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森林防火方面：天保工程区不发生森林火灾，森林火灾，年均受害率控制在0.8‰以内。</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森林资源培育资金项目:。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有害生物防治方面：天保工程区内有害生物成灾率控制在3‰以下，监测覆盖率达85%以上，无公害防治率达80%以上。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2019林业改革发展资金-天然林保护资金项目:。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森林防火方面：天保工程区不发生森林火灾，森林火灾，年均受害率控制在0.8‰以内。</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4项专项，总投入共计451.78万元，资金全部到位，实际使用资金406.54万元，专项资金执行率为89.99%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①制订《克州奥依塔克国有林管理局经费使用规范》,为合理合规使用经费提供了有力的制度保障。同时,建立区委组织部项目经费内部管控制度，并严格按要求落实。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成本节约：我单位4个项目成本均未超预算，预算执行率达89.99%。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我单位共有4个项目，项目实施进度已达到89.99%.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改革发展资金-天然林保护资金项目:主要用于天保工程二期2022年度在克州奥依塔克国有林管理局及所辖林区纳入天然林保护区域的18.01万亩全面实施资源保护修复，有利于在完成天保工程资源全面保护和系统修复相结合，落实国家重大政策，实施方案期限为一年（2022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改革发展资金-森林生态补偿效益资金项目:主要用于主要用于国家级公益林的保护和生态发展，生态公益林发挥有利于社会效益不仅是提供巨大的生态屏障，还为人民提供获取自然界一切生命活动与知识的机会、场所有利于因为森林生态系统是人们最丰富的、最大的生物资料库，为大量野生动植物提供生存环境，他们种类繁多，科学研究价值极高，是丰富人类头脑、增长人类知识的活标本。</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森林资源培育资金项目:主要用于新增人工造林面积200亩，有利于，减少浮尘天气，降低或减轻水土流失、大风等自然灾害发生频度和危害程度，促进产业结构调整，有效改善区域内各族人民的生存环境质量，提高当地农牧民的收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林业改革发展资金-天然林保护资金项目:主要用于主要用于国家级公益林的保护和生态发展，生态公益林发挥有利于社会效益不仅是提供巨大的生态屏障，还为人民提供获取自然界一切生命活动与知识的机会、场所有利于因为森林生态系统是人们最丰富的、最大的生物资料库，为大量野生动植物提供生存环境，他们种类繁多，科学研究价值极高，是丰富人类头脑、增长人类知识的活标本。</w:t>
      </w:r>
    </w:p>
    <w:p w14:paraId="3FD836F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394A20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本单位2021年初资产合计数为910.16万元，年末资产合计数为769.55元。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截止本年度固定资产账面净值85.51万元，年末实际在用固定资产85.51万元，固定资产利用率为100%。</w:t>
      </w:r>
    </w:p>
    <w:p w14:paraId="07B0C89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07947A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部门单位整体支出共设置一级指标3个，二级指标7个，三级指标10个，其中已完成三级指标10个，指标完成率为100%。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“保障人员人数（人）”指标：预期指标值为&gt;=71人，实际完成指标值为&gt;=71人，指标完成率为100%。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“保障车辆（辆）”指标：预期指标值为=3辆，实际完成指标值为=3辆，指标完成率为100%。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“考核合格率（%）”指标：预期指标值为&gt;=95%，实际完成指标值为&gt;=95%，指标完成率为100%。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“补助资金发放率（%）”指标：预期指标值为=100%，实际完成指标值为=100%，指标完成率为100%。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“人员经费（万元）”指标：预期指标值为'=469.76万元，实际完成指标值为'=469.76万元，指标完成率为100%。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“公用经费（万元）”指标：预期指标值为=16.83万元，实际完成指标值为=16.83万元，指标完成率为100%。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“促进生态林业发展”指标：预期指标值为有效促进，实际完成指标值为有效促进，指标完成率为100%。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“林业良种选育与新技术推广”指标：预期指标值为长期，实际完成指标值为长期，指标完成率为100%。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“受益人员满意度（%）”指标：预期指标值为&gt;=95%，实际完成指标值为&gt;=95%，指标完成率为100%。</w:t>
      </w:r>
    </w:p>
    <w:p w14:paraId="14A3DBA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151F4BF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526651B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B732FE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1F21DC8"/>
    <w:rsid w:val="331C478D"/>
    <w:rsid w:val="51C70EA9"/>
    <w:rsid w:val="54F842B6"/>
    <w:rsid w:val="654F3C14"/>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9717</Words>
  <Characters>10193</Characters>
  <Lines>2</Lines>
  <Paragraphs>1</Paragraphs>
  <TotalTime>30</TotalTime>
  <ScaleCrop>false</ScaleCrop>
  <LinksUpToDate>false</LinksUpToDate>
  <CharactersWithSpaces>10495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2025-07-31T03:26:13Z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